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大标宋" w:eastAsia="文星简大标宋"/>
          <w:color w:val="auto"/>
          <w:sz w:val="84"/>
          <w:szCs w:val="84"/>
        </w:rPr>
      </w:pPr>
    </w:p>
    <w:p>
      <w:pPr>
        <w:jc w:val="center"/>
        <w:rPr>
          <w:rFonts w:ascii="文星简大标宋" w:eastAsia="文星简大标宋"/>
          <w:color w:val="auto"/>
          <w:sz w:val="84"/>
          <w:szCs w:val="84"/>
        </w:rPr>
      </w:pPr>
    </w:p>
    <w:p>
      <w:pPr>
        <w:jc w:val="center"/>
        <w:rPr>
          <w:rFonts w:ascii="文星简大标宋" w:eastAsia="文星简大标宋"/>
          <w:color w:val="auto"/>
          <w:sz w:val="84"/>
          <w:szCs w:val="84"/>
        </w:rPr>
      </w:pPr>
    </w:p>
    <w:p>
      <w:pPr>
        <w:spacing w:line="360" w:lineRule="auto"/>
        <w:jc w:val="center"/>
        <w:rPr>
          <w:rFonts w:ascii="文星简大标宋" w:eastAsia="文星简大标宋"/>
          <w:color w:val="auto"/>
          <w:sz w:val="84"/>
          <w:szCs w:val="84"/>
        </w:rPr>
      </w:pPr>
      <w:r>
        <w:rPr>
          <w:rFonts w:ascii="文星简大标宋" w:eastAsia="文星简大标宋" w:cs="文星简大标宋"/>
          <w:color w:val="auto"/>
          <w:sz w:val="84"/>
          <w:szCs w:val="84"/>
        </w:rPr>
        <w:t>201</w:t>
      </w:r>
      <w:r>
        <w:rPr>
          <w:rFonts w:hint="eastAsia" w:ascii="文星简大标宋" w:eastAsia="文星简大标宋" w:cs="文星简大标宋"/>
          <w:color w:val="auto"/>
          <w:sz w:val="84"/>
          <w:szCs w:val="84"/>
          <w:lang w:val="en-US" w:eastAsia="zh-CN"/>
        </w:rPr>
        <w:t>9</w:t>
      </w:r>
      <w:r>
        <w:rPr>
          <w:rFonts w:hint="eastAsia" w:ascii="文星简大标宋" w:eastAsia="文星简大标宋" w:cs="文星简大标宋"/>
          <w:color w:val="auto"/>
          <w:sz w:val="84"/>
          <w:szCs w:val="84"/>
        </w:rPr>
        <w:t>年菏泽职业学院</w:t>
      </w:r>
    </w:p>
    <w:p>
      <w:pPr>
        <w:spacing w:line="360" w:lineRule="auto"/>
        <w:jc w:val="center"/>
        <w:rPr>
          <w:rFonts w:ascii="文星简大标宋" w:eastAsia="文星简大标宋"/>
          <w:color w:val="auto"/>
          <w:sz w:val="84"/>
          <w:szCs w:val="84"/>
        </w:rPr>
      </w:pPr>
      <w:r>
        <w:rPr>
          <w:rFonts w:hint="eastAsia" w:ascii="文星简大标宋" w:eastAsia="文星简大标宋" w:cs="文星简大标宋"/>
          <w:color w:val="auto"/>
          <w:sz w:val="84"/>
          <w:szCs w:val="84"/>
        </w:rPr>
        <w:t>部门预算</w:t>
      </w:r>
    </w:p>
    <w:p>
      <w:pPr>
        <w:rPr>
          <w:color w:val="auto"/>
          <w:sz w:val="52"/>
          <w:szCs w:val="52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80" w:lineRule="exact"/>
        <w:rPr>
          <w:color w:val="auto"/>
        </w:rPr>
      </w:pPr>
    </w:p>
    <w:p>
      <w:pPr>
        <w:spacing w:line="580" w:lineRule="exact"/>
        <w:jc w:val="center"/>
        <w:rPr>
          <w:rFonts w:ascii="黑体" w:eastAsia="黑体"/>
          <w:color w:val="auto"/>
          <w:sz w:val="44"/>
          <w:szCs w:val="44"/>
        </w:rPr>
      </w:pPr>
      <w:r>
        <w:rPr>
          <w:rFonts w:hint="eastAsia" w:ascii="黑体" w:eastAsia="黑体" w:cs="黑体"/>
          <w:color w:val="auto"/>
          <w:sz w:val="44"/>
          <w:szCs w:val="44"/>
        </w:rPr>
        <w:t>目</w:t>
      </w:r>
      <w:r>
        <w:rPr>
          <w:rFonts w:ascii="黑体" w:eastAsia="黑体" w:cs="黑体"/>
          <w:color w:val="auto"/>
          <w:sz w:val="44"/>
          <w:szCs w:val="44"/>
        </w:rPr>
        <w:t xml:space="preserve">  </w:t>
      </w:r>
      <w:r>
        <w:rPr>
          <w:rFonts w:hint="eastAsia" w:ascii="黑体" w:eastAsia="黑体" w:cs="黑体"/>
          <w:color w:val="auto"/>
          <w:sz w:val="44"/>
          <w:szCs w:val="44"/>
        </w:rPr>
        <w:t>录</w:t>
      </w:r>
    </w:p>
    <w:p>
      <w:pPr>
        <w:spacing w:line="580" w:lineRule="exact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第一部分</w:t>
      </w:r>
      <w:r>
        <w:rPr>
          <w:rFonts w:ascii="黑体" w:hAnsi="黑体" w:eastAsia="黑体" w:cs="黑体"/>
          <w:color w:val="auto"/>
          <w:sz w:val="36"/>
          <w:szCs w:val="36"/>
        </w:rPr>
        <w:t xml:space="preserve"> </w:t>
      </w:r>
      <w:r>
        <w:rPr>
          <w:rFonts w:hint="eastAsia" w:ascii="黑体" w:eastAsia="黑体" w:cs="黑体"/>
          <w:color w:val="auto"/>
          <w:sz w:val="36"/>
          <w:szCs w:val="36"/>
        </w:rPr>
        <w:t>部门概况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80" w:lineRule="exact"/>
        <w:jc w:val="both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主要职能</w:t>
      </w:r>
    </w:p>
    <w:p>
      <w:pPr>
        <w:spacing w:line="580" w:lineRule="exact"/>
        <w:ind w:left="640"/>
        <w:rPr>
          <w:rFonts w:ascii="黑体" w:eastAsia="黑体" w:cs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二、部门预算单位构成</w:t>
      </w:r>
      <w:r>
        <w:rPr>
          <w:rFonts w:ascii="黑体" w:eastAsia="黑体" w:cs="黑体"/>
          <w:color w:val="auto"/>
          <w:sz w:val="32"/>
          <w:szCs w:val="32"/>
        </w:rPr>
        <w:t xml:space="preserve"> </w:t>
      </w:r>
    </w:p>
    <w:p>
      <w:pPr>
        <w:spacing w:line="580" w:lineRule="exact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第二部分</w:t>
      </w:r>
      <w:r>
        <w:rPr>
          <w:rFonts w:ascii="黑体" w:eastAsia="黑体" w:cs="黑体"/>
          <w:color w:val="auto"/>
          <w:sz w:val="36"/>
          <w:szCs w:val="36"/>
        </w:rPr>
        <w:t xml:space="preserve"> 201</w:t>
      </w:r>
      <w:r>
        <w:rPr>
          <w:rFonts w:hint="eastAsia" w:ascii="黑体" w:eastAsia="黑体" w:cs="黑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6"/>
          <w:szCs w:val="36"/>
        </w:rPr>
        <w:t>年部门预算表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年收支预算总表（功能分类科目）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年收支预算总表（经济分类科目）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三、201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年收入预算表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四、201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年支出预算表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五、201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年财政拨款收支预算表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六、201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年一般公共预算财政拨款支出预算表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七、201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年政府性基金支出预算表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八、201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年财政拨款安排的基本支出预算表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九、201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年政府采购预算表</w:t>
      </w: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十、201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年财政拨款“三公”经费支出预算表</w:t>
      </w:r>
    </w:p>
    <w:p>
      <w:pPr>
        <w:spacing w:line="580" w:lineRule="exact"/>
        <w:ind w:left="1602" w:hanging="1602" w:hangingChars="445"/>
        <w:rPr>
          <w:rFonts w:hint="eastAsia" w:ascii="黑体" w:eastAsia="黑体" w:cs="黑体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第三部分</w:t>
      </w:r>
      <w:r>
        <w:rPr>
          <w:rFonts w:ascii="黑体" w:eastAsia="黑体" w:cs="黑体"/>
          <w:color w:val="auto"/>
          <w:sz w:val="36"/>
          <w:szCs w:val="36"/>
        </w:rPr>
        <w:t xml:space="preserve"> </w:t>
      </w:r>
      <w:r>
        <w:rPr>
          <w:rFonts w:hint="eastAsia" w:ascii="黑体" w:eastAsia="黑体" w:cs="黑体"/>
          <w:color w:val="auto"/>
          <w:sz w:val="36"/>
          <w:szCs w:val="36"/>
        </w:rPr>
        <w:t>201</w:t>
      </w:r>
      <w:r>
        <w:rPr>
          <w:rFonts w:hint="eastAsia" w:ascii="黑体" w:eastAsia="黑体" w:cs="黑体"/>
          <w:color w:val="auto"/>
          <w:sz w:val="36"/>
          <w:szCs w:val="36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6"/>
          <w:szCs w:val="36"/>
        </w:rPr>
        <w:t>年部门预算情况和重要事项说明</w:t>
      </w:r>
    </w:p>
    <w:p>
      <w:pPr>
        <w:spacing w:line="580" w:lineRule="exact"/>
        <w:ind w:left="1602" w:hanging="1602" w:hangingChars="445"/>
        <w:rPr>
          <w:rFonts w:ascii="黑体" w:eastAsia="黑体"/>
          <w:color w:val="auto"/>
          <w:sz w:val="36"/>
          <w:szCs w:val="36"/>
        </w:rPr>
      </w:pPr>
      <w:r>
        <w:rPr>
          <w:rFonts w:hint="eastAsia" w:ascii="黑体" w:eastAsia="黑体" w:cs="黑体"/>
          <w:color w:val="auto"/>
          <w:sz w:val="36"/>
          <w:szCs w:val="36"/>
        </w:rPr>
        <w:t>第四部分 名词解释</w:t>
      </w:r>
    </w:p>
    <w:p>
      <w:pPr>
        <w:ind w:firstLine="3380" w:firstLineChars="650"/>
        <w:rPr>
          <w:rFonts w:ascii="黑体" w:eastAsia="黑体" w:cs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第一部分</w:t>
      </w:r>
      <w:r>
        <w:rPr>
          <w:rFonts w:ascii="黑体" w:eastAsia="黑体" w:cs="黑体"/>
          <w:color w:val="auto"/>
          <w:sz w:val="52"/>
          <w:szCs w:val="52"/>
        </w:rPr>
        <w:t xml:space="preserve"> </w:t>
      </w:r>
    </w:p>
    <w:p>
      <w:pPr>
        <w:ind w:firstLine="1040" w:firstLineChars="200"/>
        <w:rPr>
          <w:rFonts w:ascii="黑体" w:eastAsia="黑体"/>
          <w:color w:val="auto"/>
          <w:sz w:val="52"/>
          <w:szCs w:val="52"/>
        </w:rPr>
      </w:pPr>
    </w:p>
    <w:p>
      <w:pPr>
        <w:jc w:val="center"/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  <w:lang w:val="en-US" w:eastAsia="zh-CN"/>
        </w:rPr>
        <w:t xml:space="preserve">  </w:t>
      </w:r>
      <w:r>
        <w:rPr>
          <w:rFonts w:hint="eastAsia" w:ascii="黑体" w:eastAsia="黑体" w:cs="黑体"/>
          <w:color w:val="auto"/>
          <w:sz w:val="52"/>
          <w:szCs w:val="52"/>
        </w:rPr>
        <w:t>部门概况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主要职能</w:t>
      </w:r>
    </w:p>
    <w:p>
      <w:pPr>
        <w:widowControl w:val="0"/>
        <w:adjustRightInd/>
        <w:snapToGrid/>
        <w:spacing w:after="0" w:line="580" w:lineRule="exact"/>
        <w:ind w:left="1360"/>
        <w:jc w:val="both"/>
        <w:rPr>
          <w:rFonts w:ascii="黑体" w:eastAsia="黑体"/>
          <w:color w:val="auto"/>
          <w:sz w:val="32"/>
          <w:szCs w:val="32"/>
        </w:rPr>
      </w:pPr>
    </w:p>
    <w:p>
      <w:pPr>
        <w:spacing w:line="580" w:lineRule="exact"/>
        <w:ind w:firstLine="805" w:firstLineChars="250"/>
        <w:rPr>
          <w:rFonts w:ascii="宋体" w:eastAsia="宋体"/>
          <w:color w:val="auto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pacing w:val="1"/>
          <w:sz w:val="32"/>
          <w:szCs w:val="32"/>
        </w:rPr>
        <w:t>菏泽职业学院</w:t>
      </w:r>
      <w:r>
        <w:rPr>
          <w:rFonts w:hint="eastAsia" w:ascii="宋体" w:hAnsi="宋体" w:cs="微软雅黑"/>
          <w:color w:val="auto"/>
          <w:spacing w:val="-20"/>
          <w:sz w:val="32"/>
          <w:szCs w:val="32"/>
        </w:rPr>
        <w:t>为一级预算单位，主要职能：贯彻执行国家、省市关于财政、税收和国有资产管理的方针、政策和法律、法规、规章，拟订</w:t>
      </w:r>
      <w:r>
        <w:rPr>
          <w:rFonts w:hint="eastAsia" w:ascii="仿宋_GB2312" w:eastAsia="仿宋_GB2312" w:cs="仿宋_GB2312"/>
          <w:color w:val="auto"/>
          <w:spacing w:val="1"/>
          <w:sz w:val="32"/>
          <w:szCs w:val="32"/>
        </w:rPr>
        <w:t>菏泽职业学院</w:t>
      </w:r>
      <w:r>
        <w:rPr>
          <w:rFonts w:hint="eastAsia" w:ascii="宋体" w:hAnsi="宋体" w:cs="微软雅黑"/>
          <w:color w:val="auto"/>
          <w:spacing w:val="-20"/>
          <w:sz w:val="32"/>
          <w:szCs w:val="32"/>
        </w:rPr>
        <w:t>财务会计规章制度并组织实施。</w:t>
      </w:r>
    </w:p>
    <w:p>
      <w:pPr>
        <w:spacing w:line="580" w:lineRule="exact"/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二、部门预算单位构成</w:t>
      </w:r>
    </w:p>
    <w:p>
      <w:pPr>
        <w:spacing w:line="580" w:lineRule="exact"/>
        <w:ind w:firstLine="560" w:firstLineChars="200"/>
        <w:rPr>
          <w:rFonts w:ascii="宋体" w:eastAsia="宋体"/>
          <w:color w:val="auto"/>
          <w:spacing w:val="-20"/>
          <w:sz w:val="32"/>
          <w:szCs w:val="32"/>
        </w:rPr>
      </w:pPr>
      <w:r>
        <w:rPr>
          <w:rFonts w:hint="eastAsia" w:ascii="宋体" w:hAnsi="宋体" w:cs="微软雅黑"/>
          <w:color w:val="auto"/>
          <w:spacing w:val="-20"/>
          <w:sz w:val="32"/>
          <w:szCs w:val="32"/>
        </w:rPr>
        <w:t>纳入</w:t>
      </w:r>
      <w:r>
        <w:rPr>
          <w:rFonts w:hint="eastAsia" w:ascii="仿宋_GB2312" w:eastAsia="仿宋_GB2312" w:cs="仿宋_GB2312"/>
          <w:color w:val="auto"/>
          <w:spacing w:val="1"/>
          <w:sz w:val="32"/>
          <w:szCs w:val="32"/>
        </w:rPr>
        <w:t>菏泽职业学院</w:t>
      </w:r>
      <w:r>
        <w:rPr>
          <w:rFonts w:hint="eastAsia" w:ascii="宋体" w:hAnsi="宋体" w:eastAsia="仿宋_GB2312" w:cs="宋体"/>
          <w:color w:val="auto"/>
          <w:spacing w:val="-20"/>
          <w:sz w:val="32"/>
          <w:szCs w:val="32"/>
        </w:rPr>
        <w:t>201</w:t>
      </w:r>
      <w:r>
        <w:rPr>
          <w:rFonts w:hint="eastAsia" w:ascii="宋体" w:hAnsi="宋体" w:eastAsia="仿宋_GB2312" w:cs="宋体"/>
          <w:color w:val="auto"/>
          <w:spacing w:val="-20"/>
          <w:sz w:val="32"/>
          <w:szCs w:val="32"/>
          <w:lang w:val="en-US" w:eastAsia="zh-CN"/>
        </w:rPr>
        <w:t>9</w:t>
      </w:r>
      <w:r>
        <w:rPr>
          <w:rFonts w:hint="eastAsia" w:ascii="宋体" w:hAnsi="宋体" w:cs="微软雅黑"/>
          <w:color w:val="auto"/>
          <w:spacing w:val="-20"/>
          <w:sz w:val="32"/>
          <w:szCs w:val="32"/>
        </w:rPr>
        <w:t>年部门预算编制范围的单位汇总表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67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4674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2040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spacing w:val="-2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580" w:lineRule="exact"/>
              <w:jc w:val="center"/>
              <w:rPr>
                <w:rFonts w:ascii="宋体" w:eastAsia="宋体"/>
                <w:color w:val="auto"/>
                <w:spacing w:val="-2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spacing w:val="-20"/>
                <w:sz w:val="32"/>
                <w:szCs w:val="32"/>
              </w:rPr>
              <w:t>1</w:t>
            </w:r>
          </w:p>
        </w:tc>
        <w:tc>
          <w:tcPr>
            <w:tcW w:w="4674" w:type="dxa"/>
          </w:tcPr>
          <w:p>
            <w:pPr>
              <w:spacing w:line="580" w:lineRule="exact"/>
              <w:jc w:val="center"/>
              <w:rPr>
                <w:rFonts w:ascii="宋体" w:eastAsia="宋体"/>
                <w:color w:val="auto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auto"/>
                <w:spacing w:val="1"/>
                <w:sz w:val="32"/>
                <w:szCs w:val="32"/>
              </w:rPr>
              <w:t>菏泽职业学院</w:t>
            </w:r>
          </w:p>
        </w:tc>
        <w:tc>
          <w:tcPr>
            <w:tcW w:w="2040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color w:val="auto"/>
                <w:spacing w:val="-20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80" w:lineRule="exact"/>
        <w:ind w:firstLine="420" w:firstLineChars="150"/>
        <w:rPr>
          <w:rFonts w:ascii="仿宋_GB2312" w:hAnsi="宋体" w:eastAsia="仿宋_GB2312"/>
          <w:color w:val="auto"/>
          <w:sz w:val="28"/>
          <w:szCs w:val="2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第二部分</w:t>
      </w:r>
    </w:p>
    <w:p>
      <w:pPr>
        <w:rPr>
          <w:rFonts w:ascii="黑体" w:eastAsia="黑体"/>
          <w:color w:val="auto"/>
          <w:sz w:val="52"/>
          <w:szCs w:val="52"/>
        </w:rPr>
      </w:pPr>
    </w:p>
    <w:p>
      <w:pPr>
        <w:rPr>
          <w:rFonts w:ascii="黑体" w:eastAsia="黑体"/>
          <w:color w:val="auto"/>
          <w:sz w:val="52"/>
          <w:szCs w:val="52"/>
        </w:rPr>
      </w:pPr>
    </w:p>
    <w:p>
      <w:pPr>
        <w:ind w:left="1078" w:leftChars="372" w:hanging="260" w:hangingChars="50"/>
        <w:jc w:val="center"/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201</w:t>
      </w:r>
      <w:r>
        <w:rPr>
          <w:rFonts w:hint="eastAsia" w:ascii="黑体" w:eastAsia="黑体" w:cs="黑体"/>
          <w:color w:val="auto"/>
          <w:sz w:val="52"/>
          <w:szCs w:val="5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52"/>
          <w:szCs w:val="52"/>
        </w:rPr>
        <w:t>年部门预算表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1</w:t>
      </w:r>
      <w:bookmarkStart w:id="0" w:name="RANGE_A2_D28"/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 xml:space="preserve">. 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年收支预算总表</w:t>
      </w:r>
      <w:bookmarkEnd w:id="0"/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（功能分类科目）</w:t>
      </w:r>
    </w:p>
    <w:p>
      <w:pPr>
        <w:jc w:val="center"/>
        <w:rPr>
          <w:rFonts w:ascii="仿宋_GB2312" w:hAnsi="宋体" w:eastAsia="仿宋_GB2312"/>
          <w:color w:val="auto"/>
        </w:rPr>
      </w:pPr>
      <w:r>
        <w:rPr>
          <w:rFonts w:ascii="宋体" w:hAnsi="宋体" w:cs="宋体"/>
          <w:color w:val="auto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color w:val="auto"/>
          <w:sz w:val="36"/>
          <w:szCs w:val="36"/>
        </w:rPr>
        <w:t xml:space="preserve">                   </w:t>
      </w:r>
      <w:r>
        <w:rPr>
          <w:rFonts w:ascii="仿宋_GB2312" w:hAnsi="宋体" w:eastAsia="仿宋_GB2312" w:cs="仿宋_GB2312"/>
          <w:color w:val="auto"/>
        </w:rPr>
        <w:t xml:space="preserve">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2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收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入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支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一、财政拨款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>205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教育支出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一般公共预算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 xml:space="preserve">     03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职业教育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政府性基金预算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 xml:space="preserve">          05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高等教育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国有资本经营预算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二、财政专户管理资金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4997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三、事业收入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四、事业单位经营收入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五、其他收入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本年收入合计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本年支出合计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六、上级补助收入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七、附属单位上缴收入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八、用事业基金弥补收支差额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结转下年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九、上年结转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收入总计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支出总计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</w:tbl>
    <w:p>
      <w:pPr>
        <w:jc w:val="center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 xml:space="preserve">2. 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年收支预算总表（经济分类科目）</w:t>
      </w:r>
    </w:p>
    <w:p>
      <w:pPr>
        <w:jc w:val="center"/>
        <w:rPr>
          <w:rFonts w:ascii="宋体" w:eastAsia="宋体"/>
          <w:color w:val="auto"/>
          <w:sz w:val="36"/>
          <w:szCs w:val="36"/>
        </w:rPr>
      </w:pPr>
      <w:r>
        <w:rPr>
          <w:rFonts w:ascii="宋体" w:hAnsi="宋体" w:cs="宋体"/>
          <w:color w:val="auto"/>
          <w:sz w:val="36"/>
          <w:szCs w:val="36"/>
        </w:rPr>
        <w:t xml:space="preserve">            </w:t>
      </w:r>
    </w:p>
    <w:p>
      <w:pPr>
        <w:jc w:val="center"/>
        <w:rPr>
          <w:rFonts w:ascii="仿宋_GB2312" w:hAnsi="宋体" w:eastAsia="仿宋_GB2312"/>
          <w:color w:val="auto"/>
        </w:rPr>
      </w:pPr>
      <w:r>
        <w:rPr>
          <w:rFonts w:ascii="宋体" w:hAnsi="宋体" w:cs="宋体"/>
          <w:color w:val="auto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color w:val="auto"/>
          <w:sz w:val="36"/>
          <w:szCs w:val="36"/>
        </w:rPr>
        <w:t xml:space="preserve">                        </w:t>
      </w:r>
      <w:r>
        <w:rPr>
          <w:rFonts w:ascii="仿宋_GB2312" w:hAnsi="宋体" w:eastAsia="仿宋_GB2312" w:cs="仿宋_GB2312"/>
          <w:color w:val="auto"/>
        </w:rPr>
        <w:t xml:space="preserve">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90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2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收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入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支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一、财政拨款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>301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工资福利支出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  <w:lang w:val="en-US" w:eastAsia="zh-CN"/>
              </w:rPr>
              <w:t>2861.15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一般公共预算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>302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商品服务支出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5127.44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政府性基金预算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</w:rPr>
              <w:t>303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对个人和家庭的补助支出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267.82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国有资本经营预算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二、财政专户管理资金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4997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三、事业收入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四、事业单位经营收入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五、其他收入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本年收入合计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本年支出合计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六、上级补助收入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七、附属单位上缴收入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八、用事业基金弥补收支差额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结转下年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九、上年结转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收入总计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支出总计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</w:tr>
    </w:tbl>
    <w:p>
      <w:pPr>
        <w:rPr>
          <w:rFonts w:ascii="黑体" w:eastAsia="黑体"/>
          <w:b/>
          <w:bCs/>
          <w:color w:val="auto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 xml:space="preserve">3. 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年收入预算表</w:t>
      </w:r>
    </w:p>
    <w:p>
      <w:pPr>
        <w:jc w:val="righ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498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单位代码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财政拨款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其他收入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上级补助收入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附属单位上缴收入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用事业基金弥补收支差额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上年结转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政府性基金预算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国有资本经营预算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经费拨款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补助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预算内投资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罚没收入安排的拨款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国有资源（资产）有偿使用收入安排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纳入预算管理的其他收入安排的拨款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政府性基金转列一般公共预算收入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中央转移支付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一般公共预算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行政性收费安排的拨款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专项收入</w:t>
            </w:r>
          </w:p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535001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菏泽职业学院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3"/>
                <w:szCs w:val="13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5"/>
                <w:szCs w:val="13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3"/>
                <w:szCs w:val="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3"/>
                <w:lang w:val="en-US" w:eastAsia="zh-CN"/>
              </w:rPr>
              <w:t>3259.41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eastAsia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4997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 xml:space="preserve">4. 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年支出预算表</w:t>
      </w:r>
    </w:p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</w:p>
    <w:p>
      <w:pPr>
        <w:jc w:val="righ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41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80"/>
        <w:gridCol w:w="580"/>
        <w:gridCol w:w="969"/>
        <w:gridCol w:w="1986"/>
        <w:gridCol w:w="1980"/>
        <w:gridCol w:w="1620"/>
        <w:gridCol w:w="1440"/>
        <w:gridCol w:w="1260"/>
        <w:gridCol w:w="1260"/>
        <w:gridCol w:w="900"/>
        <w:gridCol w:w="1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科目编码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单位代码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单位名称（科目）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基本支出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项目支出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事业单位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经营支出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对附属单位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补助支出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上缴上级支出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结转下年支出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项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535001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菏泽职业学院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8256.41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4997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_GB2312" w:hAnsi="宋体" w:eastAsia="仿宋_GB2312"/>
          <w:color w:val="auto"/>
        </w:rPr>
      </w:pPr>
    </w:p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5.</w:t>
      </w:r>
      <w:r>
        <w:rPr>
          <w:b/>
          <w:bCs/>
          <w:color w:val="auto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财政拨款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收支预算表</w:t>
      </w:r>
    </w:p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</w:p>
    <w:p>
      <w:pPr>
        <w:jc w:val="right"/>
        <w:rPr>
          <w:rFonts w:ascii="仿宋_GB2312" w:hAnsi="宋体" w:eastAsia="仿宋_GB2312"/>
          <w:color w:val="auto"/>
        </w:rPr>
      </w:pP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417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right"/>
        </w:trPr>
        <w:tc>
          <w:tcPr>
            <w:tcW w:w="70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收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入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支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项</w:t>
            </w:r>
            <w:r>
              <w:rPr>
                <w:rFonts w:ascii="仿宋_GB2312" w:hAnsi="宋体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目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201</w:t>
            </w:r>
            <w:r>
              <w:rPr>
                <w:rFonts w:hint="eastAsia" w:ascii="仿宋_GB2312" w:hAnsi="宋体" w:eastAsia="仿宋_GB2312" w:cs="仿宋_GB2312"/>
                <w:color w:val="auto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</w:rPr>
              <w:t>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经费拨款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</w:rPr>
              <w:t>高等教育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</w:rPr>
            </w:pPr>
          </w:p>
        </w:tc>
      </w:tr>
    </w:tbl>
    <w:p>
      <w:pPr>
        <w:rPr>
          <w:rFonts w:ascii="仿宋_GB2312" w:hAnsi="宋体" w:eastAsia="仿宋_GB2312"/>
          <w:color w:val="auto"/>
        </w:rPr>
      </w:pPr>
    </w:p>
    <w:p>
      <w:pPr>
        <w:jc w:val="center"/>
        <w:rPr>
          <w:rFonts w:ascii="仿宋_GB2312" w:eastAsia="仿宋_GB2312" w:cs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6.</w:t>
      </w:r>
      <w:r>
        <w:rPr>
          <w:b/>
          <w:bCs/>
          <w:color w:val="auto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20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  <w:lang w:val="en-US" w:eastAsia="zh-CN"/>
        </w:rPr>
        <w:t>19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年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一般公共预算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财政拨款支出预算表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仿宋_GB2312" w:hAnsi="宋体" w:eastAsia="仿宋_GB2312"/>
          <w:color w:val="auto"/>
        </w:rPr>
      </w:pPr>
      <w:r>
        <w:rPr>
          <w:rFonts w:ascii="黑体" w:eastAsia="黑体" w:cs="黑体"/>
          <w:b/>
          <w:bCs/>
          <w:color w:val="auto"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36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291"/>
        <w:gridCol w:w="1276"/>
        <w:gridCol w:w="1134"/>
        <w:gridCol w:w="1134"/>
        <w:gridCol w:w="1969"/>
        <w:gridCol w:w="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科目编码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单位名称（科目）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计</w:t>
            </w:r>
          </w:p>
        </w:tc>
        <w:tc>
          <w:tcPr>
            <w:tcW w:w="48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基本支出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项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工资福利支出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对个人和家庭的补助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日常公用支出</w:t>
            </w:r>
          </w:p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535001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菏泽职业学院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szCs w:val="20"/>
                <w:lang w:val="en-US" w:eastAsia="zh-CN"/>
              </w:rPr>
              <w:t>3259.41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color w:val="auto"/>
              </w:rPr>
            </w:pPr>
          </w:p>
          <w:p>
            <w:pPr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3259.41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2861.15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267.82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 w:cs="宋体"/>
                <w:color w:val="auto"/>
                <w:sz w:val="20"/>
                <w:szCs w:val="20"/>
                <w:lang w:val="en-US" w:eastAsia="zh-CN"/>
              </w:rPr>
              <w:t>130.44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</w:trPr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91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96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91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96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 w:cs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7.</w:t>
      </w:r>
      <w:r>
        <w:rPr>
          <w:b/>
          <w:bCs/>
          <w:color w:val="auto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年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政府性基金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支出预算表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jc w:val="right"/>
        <w:rPr>
          <w:rFonts w:ascii="仿宋_GB2312" w:hAnsi="宋体" w:eastAsia="仿宋_GB2312"/>
          <w:color w:val="auto"/>
        </w:rPr>
      </w:pPr>
      <w:r>
        <w:rPr>
          <w:rFonts w:ascii="黑体" w:eastAsia="黑体" w:cs="黑体"/>
          <w:b/>
          <w:bCs/>
          <w:color w:val="auto"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41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289"/>
        <w:gridCol w:w="1547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单位代码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单位名称（科目）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计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上年结转</w:t>
            </w:r>
          </w:p>
        </w:tc>
        <w:tc>
          <w:tcPr>
            <w:tcW w:w="42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款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基本支出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本单位无此项支出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8.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年财政拨款安排的基本支出预算表</w:t>
      </w:r>
    </w:p>
    <w:p>
      <w:pPr>
        <w:jc w:val="center"/>
        <w:rPr>
          <w:rFonts w:ascii="宋体" w:eastAsia="宋体"/>
          <w:color w:val="auto"/>
          <w:sz w:val="36"/>
          <w:szCs w:val="36"/>
        </w:rPr>
      </w:pPr>
      <w:r>
        <w:rPr>
          <w:rFonts w:ascii="宋体" w:hAnsi="宋体" w:cs="宋体"/>
          <w:color w:val="auto"/>
          <w:sz w:val="36"/>
          <w:szCs w:val="36"/>
        </w:rPr>
        <w:t xml:space="preserve">            </w:t>
      </w:r>
    </w:p>
    <w:p>
      <w:pPr>
        <w:jc w:val="right"/>
        <w:rPr>
          <w:rFonts w:ascii="仿宋_GB2312" w:eastAsia="仿宋_GB2312"/>
          <w:color w:val="auto"/>
          <w:sz w:val="30"/>
          <w:szCs w:val="30"/>
        </w:rPr>
      </w:pPr>
      <w:r>
        <w:rPr>
          <w:rFonts w:ascii="宋体" w:hAnsi="宋体" w:cs="宋体"/>
          <w:color w:val="auto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color w:val="auto"/>
          <w:sz w:val="36"/>
          <w:szCs w:val="36"/>
        </w:rPr>
        <w:t xml:space="preserve">                   </w:t>
      </w:r>
      <w:r>
        <w:rPr>
          <w:rFonts w:ascii="仿宋_GB2312" w:hAnsi="宋体" w:eastAsia="仿宋_GB2312" w:cs="仿宋_GB2312"/>
          <w:color w:val="auto"/>
        </w:rPr>
        <w:t xml:space="preserve">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科目代码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科目名称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金额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其中：一般公共预算财政拨款安排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301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工资福利支出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2861.15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2861.15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302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商品和服务支出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130.44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130.44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303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  <w:lang w:eastAsia="zh-CN"/>
              </w:rPr>
              <w:t>其他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对个人和家庭的补助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267.82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267.82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b/>
          <w:bCs/>
          <w:color w:val="auto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>9.</w:t>
      </w:r>
      <w:r>
        <w:rPr>
          <w:b/>
          <w:bCs/>
          <w:color w:val="auto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hAnsi="宋体" w:eastAsia="仿宋_GB2312" w:cs="仿宋_GB2312"/>
          <w:b/>
          <w:bCs/>
          <w:color w:val="auto"/>
          <w:sz w:val="30"/>
          <w:szCs w:val="30"/>
        </w:rPr>
        <w:t>年政府采购预算表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jc w:val="right"/>
        <w:rPr>
          <w:rFonts w:ascii="仿宋_GB2312" w:hAnsi="宋体" w:eastAsia="仿宋_GB2312"/>
          <w:color w:val="auto"/>
        </w:rPr>
      </w:pPr>
      <w:r>
        <w:rPr>
          <w:rFonts w:ascii="黑体" w:eastAsia="黑体" w:cs="黑体"/>
          <w:b/>
          <w:bCs/>
          <w:color w:val="auto"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140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9"/>
        <w:gridCol w:w="416"/>
        <w:gridCol w:w="1312"/>
        <w:gridCol w:w="850"/>
        <w:gridCol w:w="1230"/>
        <w:gridCol w:w="1242"/>
        <w:gridCol w:w="1245"/>
        <w:gridCol w:w="1245"/>
        <w:gridCol w:w="1245"/>
        <w:gridCol w:w="940"/>
        <w:gridCol w:w="1125"/>
        <w:gridCol w:w="1100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科目编码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科目名称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单位编码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单位名称</w:t>
            </w:r>
          </w:p>
        </w:tc>
        <w:tc>
          <w:tcPr>
            <w:tcW w:w="92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资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金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来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4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财政拨款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财政专户管理资金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其他自有资金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上年结转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项</w:t>
            </w: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一般公共预算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政府性基金预算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国有资本经营预算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205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高等教育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535001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auto"/>
                <w:sz w:val="20"/>
                <w:szCs w:val="20"/>
              </w:rPr>
              <w:t>菏泽职业学院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szCs w:val="20"/>
                <w:lang w:val="en-US" w:eastAsia="zh-CN"/>
              </w:rPr>
              <w:t>4997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6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1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16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312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3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19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416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312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3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115" w:type="dxa"/>
          </w:tcPr>
          <w:p>
            <w:pPr>
              <w:rPr>
                <w:rFonts w:ascii="黑体" w:eastAsia="黑体"/>
                <w:b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ascii="黑体" w:eastAsia="黑体"/>
          <w:b/>
          <w:bCs/>
          <w:color w:val="auto"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jc w:val="center"/>
        <w:rPr>
          <w:b/>
          <w:bCs/>
          <w:color w:val="auto"/>
        </w:rPr>
      </w:pP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color w:val="auto"/>
          <w:sz w:val="30"/>
          <w:szCs w:val="30"/>
        </w:rPr>
        <w:t xml:space="preserve">10. 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201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 w:cs="仿宋_GB2312"/>
          <w:b/>
          <w:bCs/>
          <w:color w:val="auto"/>
          <w:sz w:val="30"/>
          <w:szCs w:val="30"/>
        </w:rPr>
        <w:t>年一般公共预算财政拨款“三公”经费支出预算表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仿宋_GB2312" w:hAnsi="宋体" w:eastAsia="仿宋_GB2312"/>
          <w:color w:val="auto"/>
        </w:rPr>
      </w:pPr>
      <w:r>
        <w:rPr>
          <w:rFonts w:ascii="黑体" w:eastAsia="黑体" w:cs="黑体"/>
          <w:b/>
          <w:bCs/>
          <w:color w:val="auto"/>
          <w:sz w:val="30"/>
          <w:szCs w:val="30"/>
        </w:rPr>
        <w:t xml:space="preserve">  </w:t>
      </w:r>
      <w:r>
        <w:rPr>
          <w:rFonts w:ascii="仿宋_GB2312" w:hAnsi="宋体" w:eastAsia="仿宋_GB2312" w:cs="仿宋_GB2312"/>
          <w:color w:val="auto"/>
        </w:rPr>
        <w:t xml:space="preserve">  </w:t>
      </w:r>
    </w:p>
    <w:p>
      <w:pPr>
        <w:jc w:val="right"/>
        <w:rPr>
          <w:rFonts w:ascii="黑体" w:eastAsia="黑体"/>
          <w:b/>
          <w:bCs/>
          <w:color w:val="auto"/>
          <w:sz w:val="30"/>
          <w:szCs w:val="30"/>
        </w:rPr>
      </w:pPr>
      <w:r>
        <w:rPr>
          <w:rFonts w:ascii="仿宋_GB2312" w:hAnsi="宋体" w:eastAsia="仿宋_GB2312" w:cs="仿宋_GB2312"/>
          <w:color w:val="auto"/>
        </w:rPr>
        <w:t xml:space="preserve">                                                            </w:t>
      </w:r>
      <w:r>
        <w:rPr>
          <w:rFonts w:hint="eastAsia" w:ascii="仿宋_GB2312" w:hAnsi="宋体" w:eastAsia="仿宋_GB2312" w:cs="仿宋_GB2312"/>
          <w:color w:val="auto"/>
        </w:rPr>
        <w:t>单位：万元</w:t>
      </w:r>
    </w:p>
    <w:tbl>
      <w:tblPr>
        <w:tblStyle w:val="5"/>
        <w:tblW w:w="84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64"/>
        <w:gridCol w:w="1536"/>
        <w:gridCol w:w="1440"/>
        <w:gridCol w:w="1620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因公出国（境）经费</w:t>
            </w:r>
          </w:p>
        </w:tc>
        <w:tc>
          <w:tcPr>
            <w:tcW w:w="459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公务用车购置和运行维护费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小计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公务用车购置经费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公务用车运行</w:t>
            </w:r>
          </w:p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auto"/>
                <w:sz w:val="18"/>
                <w:szCs w:val="18"/>
              </w:rPr>
              <w:t>维护费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50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5</w:t>
            </w:r>
          </w:p>
        </w:tc>
      </w:tr>
    </w:tbl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48"/>
          <w:szCs w:val="48"/>
        </w:rPr>
      </w:pPr>
    </w:p>
    <w:p>
      <w:pPr>
        <w:rPr>
          <w:rFonts w:ascii="黑体" w:eastAsia="黑体"/>
          <w:b/>
          <w:bCs/>
          <w:color w:val="auto"/>
          <w:sz w:val="52"/>
          <w:szCs w:val="52"/>
        </w:rPr>
      </w:pPr>
    </w:p>
    <w:p>
      <w:pPr>
        <w:rPr>
          <w:rFonts w:ascii="黑体" w:eastAsia="黑体"/>
          <w:b/>
          <w:bCs/>
          <w:color w:val="auto"/>
          <w:sz w:val="52"/>
          <w:szCs w:val="52"/>
        </w:rPr>
      </w:pPr>
    </w:p>
    <w:p>
      <w:pPr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第三部分</w:t>
      </w:r>
    </w:p>
    <w:p>
      <w:pPr>
        <w:rPr>
          <w:rFonts w:ascii="黑体" w:eastAsia="黑体"/>
          <w:color w:val="auto"/>
          <w:sz w:val="52"/>
          <w:szCs w:val="52"/>
        </w:rPr>
      </w:pPr>
    </w:p>
    <w:p>
      <w:pPr>
        <w:rPr>
          <w:rFonts w:ascii="黑体" w:eastAsia="黑体"/>
          <w:color w:val="auto"/>
          <w:sz w:val="52"/>
          <w:szCs w:val="52"/>
        </w:rPr>
      </w:pPr>
    </w:p>
    <w:p>
      <w:pPr>
        <w:ind w:left="278" w:leftChars="8" w:hanging="260" w:hangingChars="50"/>
        <w:jc w:val="center"/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201</w:t>
      </w:r>
      <w:r>
        <w:rPr>
          <w:rFonts w:hint="eastAsia" w:ascii="黑体" w:eastAsia="黑体" w:cs="黑体"/>
          <w:color w:val="auto"/>
          <w:sz w:val="52"/>
          <w:szCs w:val="5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52"/>
          <w:szCs w:val="52"/>
        </w:rPr>
        <w:t>年部门预算情况和</w:t>
      </w:r>
    </w:p>
    <w:p>
      <w:pPr>
        <w:ind w:left="278" w:leftChars="8" w:hanging="260" w:hangingChars="50"/>
        <w:jc w:val="center"/>
        <w:rPr>
          <w:rFonts w:ascii="黑体" w:eastAsia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重要事项说明</w:t>
      </w: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rPr>
          <w:rFonts w:ascii="黑体" w:eastAsia="黑体"/>
          <w:b/>
          <w:bCs/>
          <w:color w:val="auto"/>
          <w:sz w:val="30"/>
          <w:szCs w:val="30"/>
        </w:rPr>
      </w:pP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 w:cs="黑体"/>
          <w:color w:val="auto"/>
          <w:sz w:val="32"/>
          <w:szCs w:val="32"/>
        </w:rPr>
        <w:t>一、201</w:t>
      </w:r>
      <w:r>
        <w:rPr>
          <w:rFonts w:hint="eastAsia" w:asci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eastAsia="黑体" w:cs="黑体"/>
          <w:color w:val="auto"/>
          <w:sz w:val="32"/>
          <w:szCs w:val="32"/>
        </w:rPr>
        <w:t>年部门预算情况说明</w:t>
      </w:r>
    </w:p>
    <w:p>
      <w:pPr>
        <w:spacing w:line="580" w:lineRule="exact"/>
        <w:ind w:firstLine="640" w:firstLineChars="200"/>
        <w:rPr>
          <w:rFonts w:hint="eastAsia" w:asci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由于招生人数、新进教师人数增加等原因造成预算收支变化。</w:t>
      </w:r>
    </w:p>
    <w:p>
      <w:pPr>
        <w:spacing w:line="58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（一）收支预算总体情况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年收入预算为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8256.41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年收入预算增加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962.82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万元。其中：财政拨款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万元。财政专户管理资金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4997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年支出预算为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年支出预算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万元。其中：按功能分类科目，教育支出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年教育支出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万元；按经济分类科目，工资福利支出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2861.15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年工资福利支出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674.41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万元。商品服务支出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130.44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年商品服务支出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18.28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万元。对个人和家庭的补助支出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267.82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年个人和家庭的补助支出增加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63.13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（二）财政拨款收支情况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年当年财政拨款收入预算为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年财政拨款收入预算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万元。其中：经费拨款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年财政拨款支出预算为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万元。具体情况如下：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、高等教育（类）支出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万元。主要用于人员支出、日常公用支出、对个人和家庭的补助支出。</w:t>
      </w: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（三）一般公共预算财政拨款支出预算情况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2018年当年一般公共预算财政拨款支出预算为</w:t>
      </w:r>
      <w:r>
        <w:rPr>
          <w:rFonts w:hint="eastAsia" w:ascii="仿宋_GB2312" w:hAnsi="宋体" w:eastAsia="仿宋_GB2312"/>
          <w:color w:val="auto"/>
          <w:sz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年一般公共预算财政拨款支出预算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755.82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万元。具体情况如下：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、教育支出（类）职业教育（款）高等教育（项）支出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万元，主要用于人员支出、日常公用支出、对个人和家庭的补助支出。</w:t>
      </w: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（四）政府性基金支出预算情况</w:t>
      </w: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（五）财政拨款安排的基本支出情况</w:t>
      </w:r>
    </w:p>
    <w:p>
      <w:pPr>
        <w:spacing w:line="580" w:lineRule="exact"/>
        <w:ind w:firstLine="600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财政拨款安排的基本支出预算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3259.41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.</w:t>
      </w:r>
    </w:p>
    <w:p>
      <w:pPr>
        <w:spacing w:line="580" w:lineRule="exact"/>
        <w:ind w:firstLine="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其中：人员经费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3128.97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包括：基本工资、津贴补贴、奖金、社会保险缴费、伙食补助费、绩效工资、其他工资福利支出、离休费、退休费、抚恤金、生活补助、医疗费、助学金、奖励金、住房公积金、其他对个人和家庭的补助支出等。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日常公用经费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130.44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等。</w:t>
      </w:r>
    </w:p>
    <w:p>
      <w:pPr>
        <w:spacing w:line="580" w:lineRule="exact"/>
        <w:ind w:firstLine="6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二、重要事项说明</w:t>
      </w: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（一）政府采购情况</w:t>
      </w:r>
    </w:p>
    <w:p>
      <w:pPr>
        <w:spacing w:line="580" w:lineRule="exact"/>
        <w:ind w:firstLine="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年政府采购预算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4997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年政府采购预算增加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207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万元。其中：财政专户管理资金安排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4997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万元。</w:t>
      </w:r>
    </w:p>
    <w:p>
      <w:pPr>
        <w:spacing w:line="580" w:lineRule="exact"/>
        <w:ind w:firstLine="6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sz w:val="32"/>
          <w:szCs w:val="32"/>
        </w:rPr>
        <w:t>（二）财政拨款安排的“三公”经费情况</w:t>
      </w:r>
    </w:p>
    <w:p>
      <w:pPr>
        <w:spacing w:line="580" w:lineRule="exact"/>
        <w:ind w:firstLine="6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年，通过一般公共预算财政拨款安排的</w:t>
      </w:r>
      <w:r>
        <w:rPr>
          <w:rFonts w:hint="eastAsia" w:eastAsia="仿宋_GB2312" w:cs="仿宋_GB2312"/>
          <w:color w:val="auto"/>
          <w:sz w:val="32"/>
          <w:szCs w:val="32"/>
        </w:rPr>
        <w:t>“三公”经费预算共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50</w:t>
      </w:r>
      <w:r>
        <w:rPr>
          <w:rFonts w:hint="eastAsia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与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2018年持平</w:t>
      </w:r>
      <w:r>
        <w:rPr>
          <w:rFonts w:hint="eastAsia" w:eastAsia="仿宋_GB2312" w:cs="仿宋_GB2312"/>
          <w:color w:val="auto"/>
          <w:sz w:val="32"/>
          <w:szCs w:val="32"/>
        </w:rPr>
        <w:t>。其中：公务出国经费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万元，公务用车购置及运行费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eastAsia="仿宋_GB2312" w:cs="仿宋_GB2312"/>
          <w:color w:val="auto"/>
          <w:sz w:val="32"/>
          <w:szCs w:val="32"/>
        </w:rPr>
        <w:t>公务接待费</w:t>
      </w:r>
      <w:r>
        <w:rPr>
          <w:rFonts w:asci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00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auto"/>
          <w:sz w:val="32"/>
          <w:szCs w:val="32"/>
        </w:rPr>
        <w:t>“三公”经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费预算因人员增加</w:t>
      </w:r>
      <w:r>
        <w:rPr>
          <w:rFonts w:hint="eastAsia" w:eastAsia="仿宋_GB2312" w:cs="仿宋_GB2312"/>
          <w:color w:val="auto"/>
          <w:sz w:val="32"/>
          <w:szCs w:val="32"/>
        </w:rPr>
        <w:t>公务用车运行费</w:t>
      </w:r>
      <w:r>
        <w:rPr>
          <w:rFonts w:hint="eastAsia" w:eastAsia="仿宋_GB2312" w:cs="仿宋_GB2312"/>
          <w:color w:val="auto"/>
          <w:sz w:val="32"/>
          <w:szCs w:val="32"/>
          <w:lang w:eastAsia="zh-CN"/>
        </w:rPr>
        <w:t>减少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，出国考察增加5万。与</w:t>
      </w:r>
      <w:r>
        <w:rPr>
          <w:rFonts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持平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（三）机关运行经费情况 </w:t>
      </w: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（四）国有资产占有使用情况 截至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sz w:val="32"/>
          <w:szCs w:val="32"/>
        </w:rPr>
        <w:t xml:space="preserve"> 年 12 月 31 日，机关及</w:t>
      </w:r>
      <w:r>
        <w:rPr>
          <w:rFonts w:hint="eastAsia" w:ascii="仿宋_GB2312" w:eastAsia="仿宋_GB2312"/>
          <w:sz w:val="32"/>
          <w:szCs w:val="32"/>
        </w:rPr>
        <w:t>所</w:t>
      </w:r>
      <w:r>
        <w:rPr>
          <w:rFonts w:ascii="仿宋_GB2312" w:eastAsia="仿宋_GB2312"/>
          <w:sz w:val="32"/>
          <w:szCs w:val="32"/>
        </w:rPr>
        <w:t>属各预算单位共有车辆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 辆；</w:t>
      </w:r>
      <w:r>
        <w:rPr>
          <w:rFonts w:hint="eastAsia" w:ascii="仿宋_GB2312" w:eastAsia="仿宋_GB2312"/>
          <w:sz w:val="32"/>
          <w:szCs w:val="32"/>
        </w:rPr>
        <w:t>无</w:t>
      </w:r>
      <w:r>
        <w:rPr>
          <w:rFonts w:ascii="仿宋_GB2312" w:eastAsia="仿宋_GB2312"/>
          <w:sz w:val="32"/>
          <w:szCs w:val="32"/>
        </w:rPr>
        <w:t>单位价值 100 万元以上大型设备。 2018 年部门预算未安排购置单位价值 100 万元以上大型设备。</w:t>
      </w:r>
    </w:p>
    <w:p>
      <w:pPr>
        <w:spacing w:line="580" w:lineRule="exact"/>
        <w:ind w:firstLine="600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 xml:space="preserve"> （五）绩效目标设置情况 </w:t>
      </w: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  <w:bookmarkStart w:id="1" w:name="_GoBack"/>
      <w:bookmarkEnd w:id="1"/>
    </w:p>
    <w:p>
      <w:pPr>
        <w:spacing w:line="580" w:lineRule="exact"/>
        <w:ind w:firstLine="600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黑体" w:eastAsia="黑体" w:cs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 xml:space="preserve">第四部分 </w:t>
      </w:r>
    </w:p>
    <w:p>
      <w:pPr>
        <w:ind w:firstLine="2600" w:firstLineChars="500"/>
        <w:rPr>
          <w:rFonts w:hint="eastAsia" w:ascii="黑体" w:eastAsia="黑体" w:cs="黑体"/>
          <w:color w:val="auto"/>
          <w:sz w:val="52"/>
          <w:szCs w:val="52"/>
        </w:rPr>
      </w:pPr>
    </w:p>
    <w:p>
      <w:pPr>
        <w:ind w:firstLine="2600" w:firstLineChars="500"/>
        <w:rPr>
          <w:rFonts w:ascii="黑体" w:eastAsia="黑体" w:cs="黑体"/>
          <w:color w:val="auto"/>
          <w:sz w:val="52"/>
          <w:szCs w:val="52"/>
        </w:rPr>
      </w:pPr>
      <w:r>
        <w:rPr>
          <w:rFonts w:hint="eastAsia" w:ascii="黑体" w:eastAsia="黑体" w:cs="黑体"/>
          <w:color w:val="auto"/>
          <w:sz w:val="52"/>
          <w:szCs w:val="52"/>
        </w:rPr>
        <w:t>名词解释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一、财政拨款收入：指由省级财政拨款形成的部门收入。 按现行管理制度，省级部门预算中反映的财政拨款包括一般 公共预算拨款、政府性基金预算拨款和国有资本经营预算拨 款。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二、财政专户管理资金：指单位纳入财政专户管理的资 金。主要包括教育收费、幼儿园接受的捐赠收入等。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三、事业收入：指事业单位开展专业业务活动及辅助活 动所取得的收入。如：山东省城乡规划设计研究院规划编制 等收入。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四、事业单位经营收入：指事业单位在专业业务活动及 其辅助活动之外开展非独立核算经营活动取得的收入。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五、其他收入：指除上述“财政拨款收入”、“事业收入”、 “事业单位经营收入”等以外的收入。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六、上级补助收入：指单位从主管部门和上级单位取得 的非财政补助收入。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七、用事业基金弥补收支差额：指事业单位在预计用当 年的“财政拨款收入”、“财政拨款结转和结余资金”、“事业 收入”、“事业单位经营收入”、“其他收入”等不足以安排当 年支出的情况下，使用以前年度积累的事业基金（事业单位 当年收支相抵后按国家规定提取、用于弥补以后年度收支差 额的基金）弥补本年度收支缺口的资金。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八、上年结转：指以前年度尚未完成、结转到本年仍按 原规定用途继续使用的资金。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九、基本支出：指为保障机构正常运转、完成日常工作 — 57 — 任务而发生的人员经费和日常公用经费。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十、项目支出：指在基本支出之外为完成特定任务和事 业发展目标所发生的支出。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十一、“三公”经费：指省级部门用财政拨款安排的因公 出国（境）费、公务用车购置及运行费和公务接待费。其中， 因公出国（境）费反映单位公务出国（境）的国际差旅费、 国外城市间交通费、住宿费、伙食费、培训费、公杂费等支 出；公务用车购置及运行费反映单位公务用车车辆购置支出 （含车辆购置税）及燃料费、维修费、过路过桥费、保险费、 安全奖励费用等支出；公务接待费反映单位按规定开支的各 类接待（含外宾接待）支出。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十二、机关运行经费：指省级行政单位（包括参照公务 员法管理的事业单位）的财政拨款公用经费，包括办公及印 刷费、邮电费、差旅费、会议费、福利费、日常维修费、专 用材料及一般设备购置费、办公用房水电费、办公用房取暖 费、办公用房物业管理费、公务用车运行维护费以及其他费 用。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十三、教育（类）普通教育（款）学前教育（项）：指住 房城乡建设部门举办的学前教育支出。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十四、教育（类）职业教育（款）高等职业教育（项）： 指住房城乡建设部门高等职业教育方面的支出。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十五、社会保障和就业（类）行政事业单位离退休（款） 归口管理的行政单位离退休（项）：指行政单位（包括实行公务员管理的事业单位）开支  的离退休费。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十六、社会保障和就业（类）行政事业单位离退休（款） 事业单位离退休（项）：指行政事业单位开支的离退休经费。 </w:t>
      </w:r>
    </w:p>
    <w:p>
      <w:pPr>
        <w:spacing w:line="580" w:lineRule="exact"/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十七、社会保障和就业（类）行政事业单位离退休（款） 机关事业单位基本养老保险缴费（项）：行政事业单位实施养老保险制度由单位缴纳的基本养老保险费支出。</w:t>
      </w:r>
    </w:p>
    <w:p>
      <w:pPr>
        <w:spacing w:line="580" w:lineRule="exact"/>
        <w:rPr>
          <w:rFonts w:ascii="仿宋_GB2312" w:eastAsia="仿宋_GB2312"/>
          <w:color w:val="auto"/>
          <w:sz w:val="32"/>
          <w:szCs w:val="32"/>
        </w:rPr>
      </w:pPr>
    </w:p>
    <w:p>
      <w:pPr>
        <w:spacing w:line="580" w:lineRule="exact"/>
        <w:ind w:firstLine="6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>
      <w:pPr>
        <w:spacing w:line="220" w:lineRule="atLeast"/>
        <w:rPr>
          <w:color w:val="auto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8"/>
        <w:sz w:val="21"/>
        <w:szCs w:val="21"/>
      </w:rPr>
    </w:pPr>
  </w:p>
  <w:p>
    <w:pPr>
      <w:pStyle w:val="3"/>
      <w:jc w:val="center"/>
      <w:rPr>
        <w:sz w:val="24"/>
        <w:szCs w:val="24"/>
      </w:rPr>
    </w:pPr>
    <w:r>
      <w:rPr>
        <w:rStyle w:val="8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19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8"/>
        <w:sz w:val="24"/>
        <w:szCs w:val="24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DF9"/>
    <w:multiLevelType w:val="multilevel"/>
    <w:tmpl w:val="63D06DF9"/>
    <w:lvl w:ilvl="0" w:tentative="0">
      <w:start w:val="1"/>
      <w:numFmt w:val="none"/>
      <w:lvlText w:val="一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2"/>
  </w:compat>
  <w:rsids>
    <w:rsidRoot w:val="00D31D50"/>
    <w:rsid w:val="00010A10"/>
    <w:rsid w:val="00020F55"/>
    <w:rsid w:val="000372A7"/>
    <w:rsid w:val="000A594B"/>
    <w:rsid w:val="00125B9A"/>
    <w:rsid w:val="001B6A6E"/>
    <w:rsid w:val="00242A49"/>
    <w:rsid w:val="00246F6B"/>
    <w:rsid w:val="002674F7"/>
    <w:rsid w:val="0029561E"/>
    <w:rsid w:val="00310F54"/>
    <w:rsid w:val="00323B43"/>
    <w:rsid w:val="00326091"/>
    <w:rsid w:val="00382CC9"/>
    <w:rsid w:val="00383EF8"/>
    <w:rsid w:val="00386F5F"/>
    <w:rsid w:val="0039082A"/>
    <w:rsid w:val="003A178C"/>
    <w:rsid w:val="003B52D4"/>
    <w:rsid w:val="003D37D8"/>
    <w:rsid w:val="003E3F6F"/>
    <w:rsid w:val="003E5B72"/>
    <w:rsid w:val="00410014"/>
    <w:rsid w:val="004142ED"/>
    <w:rsid w:val="004202D4"/>
    <w:rsid w:val="00426133"/>
    <w:rsid w:val="004358AB"/>
    <w:rsid w:val="00441BCF"/>
    <w:rsid w:val="004B3625"/>
    <w:rsid w:val="005409A9"/>
    <w:rsid w:val="005505AC"/>
    <w:rsid w:val="00552ECE"/>
    <w:rsid w:val="005553ED"/>
    <w:rsid w:val="00555739"/>
    <w:rsid w:val="005770CD"/>
    <w:rsid w:val="00594231"/>
    <w:rsid w:val="005F23DC"/>
    <w:rsid w:val="00676472"/>
    <w:rsid w:val="006A0AC1"/>
    <w:rsid w:val="006A6FF1"/>
    <w:rsid w:val="006E30E9"/>
    <w:rsid w:val="007363D5"/>
    <w:rsid w:val="007449B0"/>
    <w:rsid w:val="00761887"/>
    <w:rsid w:val="007E341A"/>
    <w:rsid w:val="007E6790"/>
    <w:rsid w:val="00825CCF"/>
    <w:rsid w:val="00891030"/>
    <w:rsid w:val="008B7726"/>
    <w:rsid w:val="008F42D3"/>
    <w:rsid w:val="009207E4"/>
    <w:rsid w:val="00954FB4"/>
    <w:rsid w:val="009760E9"/>
    <w:rsid w:val="00987AB4"/>
    <w:rsid w:val="00995555"/>
    <w:rsid w:val="009B6A03"/>
    <w:rsid w:val="00A050BB"/>
    <w:rsid w:val="00A0581D"/>
    <w:rsid w:val="00A70090"/>
    <w:rsid w:val="00AD1D3C"/>
    <w:rsid w:val="00B16D17"/>
    <w:rsid w:val="00B2450F"/>
    <w:rsid w:val="00B251D8"/>
    <w:rsid w:val="00B60173"/>
    <w:rsid w:val="00B75EB7"/>
    <w:rsid w:val="00B93D74"/>
    <w:rsid w:val="00B97BF9"/>
    <w:rsid w:val="00BF7D35"/>
    <w:rsid w:val="00C44255"/>
    <w:rsid w:val="00C5024A"/>
    <w:rsid w:val="00C5792C"/>
    <w:rsid w:val="00CB5FEF"/>
    <w:rsid w:val="00D14DBB"/>
    <w:rsid w:val="00D24CAA"/>
    <w:rsid w:val="00D31D50"/>
    <w:rsid w:val="00D672A9"/>
    <w:rsid w:val="00D712C1"/>
    <w:rsid w:val="00D968F0"/>
    <w:rsid w:val="00DA0D1A"/>
    <w:rsid w:val="00DD413D"/>
    <w:rsid w:val="00DE3C7F"/>
    <w:rsid w:val="00DF7A95"/>
    <w:rsid w:val="00E832EB"/>
    <w:rsid w:val="00E953C2"/>
    <w:rsid w:val="00F1234C"/>
    <w:rsid w:val="00F47B62"/>
    <w:rsid w:val="00F8627C"/>
    <w:rsid w:val="00F86AF4"/>
    <w:rsid w:val="00FF7B13"/>
    <w:rsid w:val="02343995"/>
    <w:rsid w:val="07327B5F"/>
    <w:rsid w:val="09BB3B9F"/>
    <w:rsid w:val="0A125234"/>
    <w:rsid w:val="0FE42570"/>
    <w:rsid w:val="11020ABC"/>
    <w:rsid w:val="15AB49A1"/>
    <w:rsid w:val="15E7635C"/>
    <w:rsid w:val="199F7A08"/>
    <w:rsid w:val="28931096"/>
    <w:rsid w:val="28DF6777"/>
    <w:rsid w:val="2A7C603B"/>
    <w:rsid w:val="314E0C0E"/>
    <w:rsid w:val="383F0FAF"/>
    <w:rsid w:val="4D2B55A8"/>
    <w:rsid w:val="50035610"/>
    <w:rsid w:val="516251BB"/>
    <w:rsid w:val="54B65DC1"/>
    <w:rsid w:val="5BC63C8B"/>
    <w:rsid w:val="613C4429"/>
    <w:rsid w:val="63553531"/>
    <w:rsid w:val="68A3538F"/>
    <w:rsid w:val="6D082EF8"/>
    <w:rsid w:val="70BC678F"/>
    <w:rsid w:val="741759D2"/>
    <w:rsid w:val="76E056B7"/>
    <w:rsid w:val="7855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ascii="Tahoma" w:hAnsi="Tahoma" w:cs="Tahoma"/>
      <w:sz w:val="18"/>
      <w:szCs w:val="18"/>
    </w:rPr>
  </w:style>
  <w:style w:type="paragraph" w:customStyle="1" w:styleId="11">
    <w:name w:val="Char Char"/>
    <w:basedOn w:val="1"/>
    <w:qFormat/>
    <w:uiPriority w:val="99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4"/>
    </w:rPr>
  </w:style>
  <w:style w:type="paragraph" w:customStyle="1" w:styleId="12">
    <w:name w:val="Char Char Char Char1 Char Char Char Char Char Char Char Char Char Char Char Char Char Char Char Char Char"/>
    <w:basedOn w:val="1"/>
    <w:qFormat/>
    <w:uiPriority w:val="99"/>
    <w:pPr>
      <w:adjustRightInd/>
      <w:snapToGrid/>
      <w:spacing w:after="160" w:line="240" w:lineRule="exact"/>
      <w:ind w:firstLine="980" w:firstLineChars="350"/>
    </w:pPr>
    <w:rPr>
      <w:rFonts w:ascii="Verdana" w:hAnsi="Verdana" w:eastAsia="仿宋_GB2312" w:cs="Verdana"/>
      <w:sz w:val="28"/>
      <w:szCs w:val="28"/>
      <w:lang w:eastAsia="en-US"/>
    </w:rPr>
  </w:style>
  <w:style w:type="paragraph" w:customStyle="1" w:styleId="13">
    <w:name w:val="Char Char Char Char Char Char Char Char Char Char Char Char Char Char Char Char"/>
    <w:basedOn w:val="1"/>
    <w:qFormat/>
    <w:uiPriority w:val="99"/>
    <w:pPr>
      <w:widowControl w:val="0"/>
      <w:tabs>
        <w:tab w:val="left" w:pos="360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">
    <w:name w:val="批注框文本 Char"/>
    <w:basedOn w:val="7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450C1-45BC-4D3A-9153-999810641A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731</Words>
  <Characters>4172</Characters>
  <Lines>34</Lines>
  <Paragraphs>9</Paragraphs>
  <TotalTime>0</TotalTime>
  <ScaleCrop>false</ScaleCrop>
  <LinksUpToDate>false</LinksUpToDate>
  <CharactersWithSpaces>4894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2019-02-15T07:21:00Z</dcterms:created>
  <dc:creator>Administrator</dc:creator>
  <cp:lastModifiedBy>Administrator</cp:lastModifiedBy>
  <dcterms:modified xsi:type="dcterms:W3CDTF">2019-04-25T01:17:36Z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